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FA2" w:rsidRPr="004904D1" w:rsidRDefault="00943FA2" w:rsidP="00943FA2">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6. Радиопередающие устройства аналоговых РРЛ</w:t>
      </w:r>
    </w:p>
    <w:p w:rsidR="00943FA2" w:rsidRPr="004904D1" w:rsidRDefault="00943FA2" w:rsidP="00943FA2">
      <w:pPr>
        <w:pStyle w:val="NoSpacing"/>
        <w:rPr>
          <w:rStyle w:val="Strong"/>
          <w:rFonts w:ascii="Times New Roman" w:hAnsi="Times New Roman" w:cs="Times New Roman"/>
          <w:b w:val="0"/>
          <w:sz w:val="24"/>
          <w:szCs w:val="24"/>
        </w:rPr>
      </w:pPr>
      <w:hyperlink r:id="rId5" w:anchor="5.1" w:history="1">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1. Структурная схема. Основные параметры</w:t>
        </w:r>
      </w:hyperlink>
    </w:p>
    <w:p w:rsidR="00943FA2" w:rsidRPr="004904D1" w:rsidRDefault="00943FA2" w:rsidP="00943FA2">
      <w:pPr>
        <w:pStyle w:val="NoSpacing"/>
        <w:rPr>
          <w:rStyle w:val="Strong"/>
          <w:rFonts w:ascii="Times New Roman" w:hAnsi="Times New Roman" w:cs="Times New Roman"/>
          <w:b w:val="0"/>
          <w:sz w:val="24"/>
          <w:szCs w:val="24"/>
        </w:rPr>
      </w:pPr>
      <w:hyperlink r:id="rId6" w:anchor="5.2" w:history="1">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.2. Частотные модуляторы</w:t>
        </w:r>
      </w:hyperlink>
    </w:p>
    <w:p w:rsidR="00943FA2" w:rsidRDefault="00943FA2" w:rsidP="00943FA2">
      <w:pPr>
        <w:pStyle w:val="NoSpacing"/>
        <w:rPr>
          <w:rStyle w:val="Strong"/>
          <w:rFonts w:ascii="Times New Roman" w:hAnsi="Times New Roman" w:cs="Times New Roman"/>
          <w:b w:val="0"/>
          <w:sz w:val="24"/>
          <w:szCs w:val="24"/>
        </w:rPr>
      </w:pPr>
      <w:r>
        <w:t>6</w:t>
      </w:r>
      <w:hyperlink r:id="rId7" w:anchor="5.3" w:history="1">
        <w:r w:rsidRPr="004904D1">
          <w:rPr>
            <w:rStyle w:val="Strong"/>
            <w:rFonts w:ascii="Times New Roman" w:hAnsi="Times New Roman" w:cs="Times New Roman"/>
            <w:sz w:val="24"/>
            <w:szCs w:val="24"/>
          </w:rPr>
          <w:t>.3. Преобразователи частоты радиопередающих устройств</w:t>
        </w:r>
      </w:hyperlink>
    </w:p>
    <w:p w:rsidR="00943FA2" w:rsidRPr="004904D1" w:rsidRDefault="00943FA2" w:rsidP="00943FA2">
      <w:pPr>
        <w:pStyle w:val="NoSpacing"/>
        <w:rPr>
          <w:rStyle w:val="Strong"/>
          <w:rFonts w:ascii="Times New Roman" w:hAnsi="Times New Roman" w:cs="Times New Roman"/>
          <w:b w:val="0"/>
          <w:sz w:val="24"/>
          <w:szCs w:val="24"/>
        </w:rPr>
      </w:pPr>
    </w:p>
    <w:p w:rsidR="00943FA2" w:rsidRPr="004904D1" w:rsidRDefault="00943FA2" w:rsidP="00943FA2">
      <w:pPr>
        <w:pStyle w:val="NoSpacing"/>
        <w:rPr>
          <w:rStyle w:val="Strong"/>
          <w:rFonts w:ascii="Times New Roman" w:hAnsi="Times New Roman" w:cs="Times New Roman"/>
          <w:sz w:val="24"/>
          <w:szCs w:val="24"/>
        </w:rPr>
      </w:pPr>
      <w:bookmarkStart w:id="0" w:name="5.1"/>
      <w:bookmarkEnd w:id="0"/>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.1. Структурная схема. Основные параметры</w:t>
      </w:r>
    </w:p>
    <w:p w:rsidR="00943FA2" w:rsidRPr="004904D1" w:rsidRDefault="00943FA2" w:rsidP="00943FA2">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разделе изложены принципы построения и технические параметры передатчиков, устанавливаемых на РРЛ, ТРЛ и ССС. В этих системах радиосвязи применяют передатчики с аналогичными структурными схемами, блоки которых строят по аналогичным принципиальным схемам. Схемы блоков рассмотрены, в основном, на примере радиопередатчиков РРЛ.</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магистральных РРЛ, ТРЛ и ССС с аналоговой ЧМ широкое распространение получили радиопередатчики с модуляцией по ПЧ (рисунок 5.1). На выходе ЧМД UB получают сигнал ПЧ, модулированный по частоте ГС ствола. Этот ЧМ сигнал усиливается в МУПЧ до уровня, необходимого для нормальной работы смесителя UZ. Амплитудный ограничитель ZL, входящий в МУПЧ, подавляет паразитную АМ сигнала. Электрическую цепь, выполняющую преобразование частоты сигнала и включающую гетеродин G, смеситель UZ и полосовой фильтр Z (здесь – ФБП), называют преобразователем частоты ПрЧ. Роль гетеродина в передатчиках РРЛ, ТРЛ и ССС играет ГТ передатчика. Из спектра колебаний, образующихся на выходе смесителя, ФБП выделяет ЧМ сигнал передатчика со средней частотой f2. Усилитель мощности А усиливает этот сигнал, обеспечивая номинальную мощность. К ГТ передатчика часто подводят сигналы СС, которые передают методом ФМ.</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зоновых, внутризоновых и местных РРЛ наряду с рассмотренной схемой применяют схему с прямой частотной модуляцией в УВЧ (СВЧ) диапазонах или с ФМ.</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Основные параметры. Определяемая планом распределения частот номинальная рабочая частота радиопередатчика.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Выходная мощность радиопередатчика определяется как мощность поступающая от него в АФТ.</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Относительная нестабильность частоты – это отношение абсолютной нестабильности частоты на выходе радиопередатчика к установленной номинальной частоте. В схеме 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.1 имеется ЧМГ UB и опорный генератор в ГТ. Эти генераторы на станциях с модуляцией определяют относительную нестабильность частоты радиопередатчика. Из- за нестабильности частоты средняя частота передаваемого сигнала отклоняется от частоты настройки приемника, и спектр сигнала не полностью попадает в полосу пропускания приемника, при этом возникают искажения принимаемого сигнала.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692719A5" wp14:editId="1C0FCF85">
            <wp:simplePos x="0" y="0"/>
            <wp:positionH relativeFrom="column">
              <wp:posOffset>-3810</wp:posOffset>
            </wp:positionH>
            <wp:positionV relativeFrom="paragraph">
              <wp:posOffset>-3810</wp:posOffset>
            </wp:positionV>
            <wp:extent cx="3707765" cy="1524635"/>
            <wp:effectExtent l="0" t="0" r="6985" b="0"/>
            <wp:wrapTight wrapText="bothSides">
              <wp:wrapPolygon edited="0">
                <wp:start x="0" y="0"/>
                <wp:lineTo x="0" y="21321"/>
                <wp:lineTo x="21530" y="21321"/>
                <wp:lineTo x="21530" y="0"/>
                <wp:lineTo x="0" y="0"/>
              </wp:wrapPolygon>
            </wp:wrapTight>
            <wp:docPr id="1" name="Picture 1" descr="https://siblec.ru/img/53/img/im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siblec.ru/img/53/img/im5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7765" cy="1524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7E4E">
        <w:t xml:space="preserve"> </w:t>
      </w:r>
      <w:r w:rsidRPr="00C37E4E">
        <w:rPr>
          <w:rStyle w:val="Strong"/>
          <w:rFonts w:ascii="Times New Roman" w:hAnsi="Times New Roman" w:cs="Times New Roman"/>
          <w:sz w:val="24"/>
          <w:szCs w:val="24"/>
        </w:rPr>
        <w:t>рисунок 6.1</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Кроме того, при значительной нестабильности частоты может появиться нежелательное радиоизлучение, которое представляет собой мешающий сигнал для других стволов АРРС или ЦРРС.</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Ослабление нежелательного радиоизлучения. Нежелательное радиоизлучение, возникающее в результате любых нелинейных процессов в радиопередающем устройстве, кроме процесса модуляции, называют побочным радиоизлучением. Например, когда ФБП выделяет колебания со средней частотой, </w:t>
      </w:r>
      <w:r w:rsidRPr="004904D1">
        <w:rPr>
          <w:rStyle w:val="Strong"/>
          <w:rFonts w:ascii="Times New Roman" w:hAnsi="Times New Roman" w:cs="Times New Roman"/>
          <w:sz w:val="24"/>
          <w:szCs w:val="24"/>
        </w:rPr>
        <w:lastRenderedPageBreak/>
        <w:t>то он не полностью подавляет СВЧ колебания второй боковой полосы и колебания гетеродина, которые будут попадать в антенну. Поэтому для передатчика указывают ослабление колебаний второй боковой полосы и колебаний гетеродина по отношению к уровню сигнала. Эти ослабления, как правило, должны превышать 100 дБ.</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радиопередатчиках ТРЛ для получения большой выходной мощности приходится выбирать для УМ нелинейный режим работы. На выходе такого УМ возникает побочное радиоизлучение на гармониках частоты сигнала. Для проведения такого излучения на выходе УМ устанавливают фильтры гармоник (ФГ). В техническом паспорте радиопередатчика указывают ослабление колебаний второй гармоники относительно сигнала.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Параметры, характеризующие качество модуляции и искажения передаваемых сигналов. В АРРС искажения проявляются в виде шумов в каналах. В составе радиопередатчика есть устройства, относящиеся к групповому тракту (ЧМД), и устройства, относящиеся к высокочастотному тракту (МУПЧ, УМ и др.). Эти устройства порождают переходные шумы в каналах. Кроме того, ГТ и ЧМД вносят тепловые шумы в каналы. Параметры устройств, определяющие шумы, будут рассмотрены ниже.</w:t>
      </w:r>
    </w:p>
    <w:p w:rsidR="00943FA2" w:rsidRPr="004904D1" w:rsidRDefault="00943FA2" w:rsidP="00943FA2">
      <w:pPr>
        <w:pStyle w:val="NoSpacing"/>
        <w:rPr>
          <w:rStyle w:val="Strong"/>
          <w:rFonts w:ascii="Times New Roman" w:hAnsi="Times New Roman" w:cs="Times New Roman"/>
          <w:sz w:val="24"/>
          <w:szCs w:val="24"/>
        </w:rPr>
      </w:pPr>
      <w:bookmarkStart w:id="1" w:name="5.2"/>
      <w:bookmarkEnd w:id="1"/>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.2. Частотные модуляторы</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Основные технические требования. Модуляционная (передаточная) характеристика ЧМД должна иметь высокую линейность, чтобы нелинейные искажения сигнала, вносимые в процессе модуляции, были небольшими. Границы линейного участка определяются требуемым расходом частоты на выходе ЧМД. Согласно рекомендациям МСЭ в АРРС при передаче ПТВС размах девиации частоты ∆fm = ±4 МГц. При передаче МТС модулятор рассчитывают на передачу пиковых уровней, которым соответствует девиация ∆fпик.</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Линейность модуляционной характеристики принято оценивать с помощью КНИ по второй и третьей гармоникам. Измеряют КНИ для всего группового тракта радиорелейного участка. На вход модулятора подают гармонический испытательный сигнал с частотой F, выбранной так, что сама частота и ее третья гармоника лежат внутри полосы частот Fн…Fв. На выходе демодулятора поочередно измеряют напряжения первой U1, второй U2 и третьей U3гармоник. Соответствующие измерительному уровню pк, КНИ по второй и третьей гармоникам:</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598EF78" wp14:editId="77279360">
            <wp:extent cx="552450" cy="438150"/>
            <wp:effectExtent l="0" t="0" r="0" b="0"/>
            <wp:docPr id="2" name="Picture 2" descr="https://siblec.ru/img/53/img/Image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siblec.ru/img/53/img/Image84.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2450"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.1)</w:t>
      </w:r>
      <w:r w:rsidRPr="004904D1">
        <w:rPr>
          <w:rStyle w:val="Strong"/>
          <w:rFonts w:ascii="Times New Roman" w:hAnsi="Times New Roman" w:cs="Times New Roman"/>
          <w:sz w:val="24"/>
          <w:szCs w:val="24"/>
        </w:rPr>
        <w:br/>
        <w:t>и</w:t>
      </w:r>
      <w:r w:rsidRPr="004904D1">
        <w:rPr>
          <w:rStyle w:val="Strong"/>
          <w:rFonts w:ascii="Times New Roman" w:hAnsi="Times New Roman" w:cs="Times New Roman"/>
          <w:sz w:val="24"/>
          <w:szCs w:val="24"/>
        </w:rPr>
        <w:br/>
      </w:r>
      <w:r w:rsidRPr="004904D1">
        <w:rPr>
          <w:rStyle w:val="Strong"/>
          <w:rFonts w:ascii="Times New Roman" w:hAnsi="Times New Roman" w:cs="Times New Roman"/>
          <w:b w:val="0"/>
          <w:noProof/>
          <w:sz w:val="24"/>
          <w:szCs w:val="24"/>
          <w:lang w:eastAsia="ru-RU"/>
        </w:rPr>
        <w:drawing>
          <wp:inline distT="0" distB="0" distL="0" distR="0" wp14:anchorId="444DC056" wp14:editId="75D883D2">
            <wp:extent cx="542925" cy="438150"/>
            <wp:effectExtent l="0" t="0" r="9525" b="0"/>
            <wp:docPr id="3" name="Picture 3" descr="https://siblec.ru/img/53/img/Image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iblec.ru/img/53/img/Image85.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2925"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.2)</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увеличении измерительного уровня растет рабочий участок модуляционной (и демодуляционной) характеристики. Поскольку при этом приходится использовать области характеристик с возрастающей нелинейностью, то значения КНИ увеличиваются.</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ТНОУ КНИ по второй и третьей гармоникам</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E4614AA" wp14:editId="31937D86">
            <wp:extent cx="695325" cy="466725"/>
            <wp:effectExtent l="0" t="0" r="9525" b="9525"/>
            <wp:docPr id="4" name="Picture 4" descr="https://siblec.ru/img/53/img/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siblec.ru/img/53/img/Image86.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5325" cy="466725"/>
                    </a:xfrm>
                    <a:prstGeom prst="rect">
                      <a:avLst/>
                    </a:prstGeom>
                    <a:noFill/>
                    <a:ln>
                      <a:noFill/>
                    </a:ln>
                  </pic:spPr>
                </pic:pic>
              </a:graphicData>
            </a:graphic>
          </wp:inline>
        </w:drawing>
      </w:r>
      <w:r w:rsidRPr="004904D1">
        <w:rPr>
          <w:rStyle w:val="Strong"/>
          <w:rFonts w:ascii="Times New Roman" w:hAnsi="Times New Roman" w:cs="Times New Roman"/>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02434743" wp14:editId="6A11970D">
            <wp:extent cx="571500" cy="438150"/>
            <wp:effectExtent l="0" t="0" r="0" b="0"/>
            <wp:docPr id="5" name="Picture 5" descr="https://siblec.ru/img/53/img/Image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siblec.ru/img/53/img/Image87.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.3)</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3FDCB307" wp14:editId="10CCF434">
            <wp:extent cx="714375" cy="238125"/>
            <wp:effectExtent l="0" t="0" r="9525" b="9525"/>
            <wp:docPr id="6" name="Picture 6" descr="https://siblec.ru/img/53/img/Image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siblec.ru/img/53/img/Image88.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37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мощность измерительного сигнала в милливаттах.</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Частотный модулятор должен иметь возможно более высокую крутизну модуляционной характеристики и стабильность крутизны, а также малую относительную нестабильность центрального значения ПЧ.</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Крутизна модуляционной характеристики влияет на величину ТШ, поступающих от модема. Положим, например, что на выходе ЧМД ТВ ствола должен быть установлен размах девиации ∆ω(t) =∆ω*m. Для этого на ЧМД нужно подать модулирующий сигнал (ПТВС) с размахом U*м= ∆ω*m / kм. На вход ОТВП этот ПТВС поступает с определенным номинальным уровнем, которому соответствует напряжение размаха Uн. Коэффициент усиления, требуемый от усилителей ОТВП, К= U*м / Uн =∆ω*m / kмUн. С ростом kм падает К, поэтому и собственные шумы усилителей будут усилены меньше. Следовательно, высокая крутизна модуляционной характеристики позволяет снизить ТШ, вносимые в канал модемом.</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 – за нестабильности крутизны модуляционной характеристики одному и тому же напряжению сигнала на входе ЧМД будут соответствовать в разные моменты времени разные значения отклонения частоты на его выходе, а следовательно, и разные значения напряжения на выходе ЧД. В результате колебания уровень сигнала в канале (остаточное затухание), что допустимо в очень малых пределах.</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Нестабильность центрального значения ПЧ на выходе ЧМД приводит к нестабильности частоты передатчика. Поскольку модулятор представляет собой ЧМГ с большой девиацией частоты, то для него неприменим такой эффективный способ стабилизации частоты, как кварцевая стабилизация. Обычно применяют параметрическую стабилизацию, которая позволяет поддерживать абсолютный уход ПЧ δfпр ≤ 200 кГц.</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Схема частотного модулятора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Схема частотного модулятора (рисунок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.2) содержит разветвитель модулирующего сигнала, два ЧМГ с варикапами – UB1 и UB2 и линеаризующими нагрузками ЛН, смеситель UZ, нагрузкой которого является ПФ Z; настроенный на ПЧ. В ЧМГ UB1 в колебательный контур включены варикапы.</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21C12E82" wp14:editId="0B21ECDF">
            <wp:simplePos x="0" y="0"/>
            <wp:positionH relativeFrom="column">
              <wp:posOffset>-3810</wp:posOffset>
            </wp:positionH>
            <wp:positionV relativeFrom="paragraph">
              <wp:posOffset>1270</wp:posOffset>
            </wp:positionV>
            <wp:extent cx="2879725" cy="1472565"/>
            <wp:effectExtent l="0" t="0" r="0" b="0"/>
            <wp:wrapTight wrapText="bothSides">
              <wp:wrapPolygon edited="0">
                <wp:start x="0" y="0"/>
                <wp:lineTo x="0" y="21237"/>
                <wp:lineTo x="21433" y="21237"/>
                <wp:lineTo x="21433" y="0"/>
                <wp:lineTo x="0" y="0"/>
              </wp:wrapPolygon>
            </wp:wrapTight>
            <wp:docPr id="7" name="Picture 7" descr="Рисунок 5.2. Структурная схема частотного модуля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Рисунок 5.2. Структурная схема частотного модулятор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9725" cy="14725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.2. Структурная схема частотного модулятора.</w:t>
      </w:r>
    </w:p>
    <w:p w:rsidR="00943FA2" w:rsidRDefault="00943FA2" w:rsidP="00943FA2">
      <w:pPr>
        <w:pStyle w:val="NoSpacing"/>
        <w:rPr>
          <w:rStyle w:val="Strong"/>
          <w:rFonts w:ascii="Times New Roman" w:hAnsi="Times New Roman" w:cs="Times New Roman"/>
          <w:b w:val="0"/>
          <w:sz w:val="24"/>
          <w:szCs w:val="24"/>
        </w:rPr>
      </w:pPr>
    </w:p>
    <w:p w:rsidR="00943FA2" w:rsidRDefault="00943FA2" w:rsidP="00943FA2">
      <w:pPr>
        <w:pStyle w:val="NoSpacing"/>
        <w:rPr>
          <w:rStyle w:val="Strong"/>
          <w:rFonts w:ascii="Times New Roman" w:hAnsi="Times New Roman" w:cs="Times New Roman"/>
          <w:b w:val="0"/>
          <w:sz w:val="24"/>
          <w:szCs w:val="24"/>
        </w:rPr>
      </w:pPr>
    </w:p>
    <w:p w:rsidR="00943FA2" w:rsidRDefault="00943FA2" w:rsidP="00943FA2">
      <w:pPr>
        <w:pStyle w:val="NoSpacing"/>
        <w:rPr>
          <w:rStyle w:val="Strong"/>
          <w:rFonts w:ascii="Times New Roman" w:hAnsi="Times New Roman" w:cs="Times New Roman"/>
          <w:b w:val="0"/>
          <w:sz w:val="24"/>
          <w:szCs w:val="24"/>
        </w:rPr>
      </w:pPr>
    </w:p>
    <w:p w:rsidR="00943FA2" w:rsidRDefault="00943FA2" w:rsidP="00943FA2">
      <w:pPr>
        <w:pStyle w:val="NoSpacing"/>
        <w:rPr>
          <w:rStyle w:val="Strong"/>
          <w:rFonts w:ascii="Times New Roman" w:hAnsi="Times New Roman" w:cs="Times New Roman"/>
          <w:b w:val="0"/>
          <w:sz w:val="24"/>
          <w:szCs w:val="24"/>
        </w:rPr>
      </w:pPr>
    </w:p>
    <w:p w:rsidR="00943FA2" w:rsidRDefault="00943FA2" w:rsidP="00943FA2">
      <w:pPr>
        <w:pStyle w:val="NoSpacing"/>
        <w:rPr>
          <w:rStyle w:val="Strong"/>
          <w:rFonts w:ascii="Times New Roman" w:hAnsi="Times New Roman" w:cs="Times New Roman"/>
          <w:b w:val="0"/>
          <w:sz w:val="24"/>
          <w:szCs w:val="24"/>
        </w:rPr>
      </w:pPr>
    </w:p>
    <w:p w:rsidR="00943FA2" w:rsidRPr="004904D1" w:rsidRDefault="00943FA2" w:rsidP="00943FA2">
      <w:pPr>
        <w:pStyle w:val="NoSpacing"/>
        <w:rPr>
          <w:rStyle w:val="Strong"/>
          <w:rFonts w:ascii="Times New Roman" w:hAnsi="Times New Roman" w:cs="Times New Roman"/>
          <w:b w:val="0"/>
          <w:sz w:val="24"/>
          <w:szCs w:val="24"/>
        </w:rPr>
      </w:pPr>
    </w:p>
    <w:p w:rsidR="00943FA2" w:rsidRPr="004904D1" w:rsidRDefault="00943FA2" w:rsidP="00943FA2">
      <w:pPr>
        <w:pStyle w:val="NoSpacing"/>
        <w:rPr>
          <w:rStyle w:val="Strong"/>
          <w:rFonts w:ascii="Times New Roman" w:hAnsi="Times New Roman" w:cs="Times New Roman"/>
          <w:sz w:val="24"/>
          <w:szCs w:val="24"/>
        </w:rPr>
      </w:pPr>
      <w:bookmarkStart w:id="2" w:name="5.3"/>
      <w:bookmarkEnd w:id="2"/>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.3. Преобразователи частоты радиопередающих устройств</w:t>
      </w:r>
    </w:p>
    <w:p w:rsidR="00943FA2" w:rsidRPr="004904D1" w:rsidRDefault="00943FA2" w:rsidP="00943FA2">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Принцип работы. Основные технические параметры. Преобразователь частоты передатчика предназначен для преобразования сигнала промежуточной частоты в сигнал СВЧ. На смеситель UZ схемы (рисунок 5.3) подают: на вход 1 – напряжение сигнала uc, представляющего собой ЧМ колебания промежуточной частоты, т.е. fc = fпр, с мощностью Рс; на вход 2 – немодулированные СВЧ колебания от гетеродина G с напряжением ur и мощностью Pr. Эти колебания одновременно поступают на нелинейный элемент смесителя, например полупроводниковый диод, для которого зависимость между входным напряжением uвх и выходным током iд можно записать в виде:</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F88F0F8" wp14:editId="33911849">
            <wp:extent cx="847725" cy="428625"/>
            <wp:effectExtent l="0" t="0" r="9525" b="9525"/>
            <wp:docPr id="8" name="Picture 8" descr="https://siblec.ru/img/53/img/Image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siblec.ru/img/53/img/Image89.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47725" cy="4286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.4)</w:t>
      </w:r>
      <w:r w:rsidRPr="004904D1">
        <w:rPr>
          <w:rStyle w:val="Strong"/>
          <w:rFonts w:ascii="Times New Roman" w:hAnsi="Times New Roman" w:cs="Times New Roman"/>
          <w:sz w:val="24"/>
          <w:szCs w:val="24"/>
        </w:rPr>
        <w:br/>
        <w:t>uвх = uc + ur ;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.5)</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аm – постоянные коэффициенты, определяемые по вольт-амперной характеристике диода.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Выходной ток смесителя будет содержать колебания с частотами гармоник сигнала и гетеродина и со всевозможными комбинациями этих частот. Частота и мощность колебаний на выходе смесителя обозначены fS и Р3. Значения частот fS определяем того, что сигнал на промежуточной частоте имеет спектр шириной Пмч, а уровень выходного сигнала смесителя падает с ростом m и n (рисунок 5.4). Выходной ФДП Z выделяет одну из боковых полос: верхнюю или нижнюю, в зависимости от расстановки частот на РРС. Выделенную полосу частот называют рабочей. Неиспользуемую полосу – второй боковой полосой.</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605D7937" wp14:editId="7D0024DE">
            <wp:simplePos x="0" y="0"/>
            <wp:positionH relativeFrom="column">
              <wp:posOffset>-3810</wp:posOffset>
            </wp:positionH>
            <wp:positionV relativeFrom="paragraph">
              <wp:posOffset>1270</wp:posOffset>
            </wp:positionV>
            <wp:extent cx="3599815" cy="1067435"/>
            <wp:effectExtent l="0" t="0" r="635" b="0"/>
            <wp:wrapTight wrapText="bothSides">
              <wp:wrapPolygon edited="0">
                <wp:start x="0" y="0"/>
                <wp:lineTo x="0" y="21202"/>
                <wp:lineTo x="21490" y="21202"/>
                <wp:lineTo x="21490" y="0"/>
                <wp:lineTo x="0" y="0"/>
              </wp:wrapPolygon>
            </wp:wrapTight>
            <wp:docPr id="9" name="Picture 9" descr="Рисунок 5.3. Функциональная схема Рисунок 5.4–Панорама преобразователя частоты частот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Рисунок 5.3. Функциональная схема Рисунок 5.4–Панорама преобразователя частоты частот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815" cy="1067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.3. Функциональная схема Рисунок 5.4–Панорама преобразователя частоты частот</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качестве нелинейных элементов в смесителях применяют полупроводниковые диоды двух типов: диоды с переменным сопротивлением (мощные смесительные диоды) и варикапы, работающие в режиме нелинейной емкости. Такие варикапы называются варакторами.</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преобразователя частоты передатчика принято указывать следующие параметры: коэффициент преобразования Кпр или потери преобразования апр, коэффициент использования мощности гетеродина Кг (или КПД в цепи гетеродина) и общий КПД преобразования h . Их определяют так:</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9935C73" wp14:editId="754E6EBB">
            <wp:extent cx="2752725" cy="885825"/>
            <wp:effectExtent l="0" t="0" r="9525" b="9525"/>
            <wp:docPr id="10" name="Picture 10" descr="https://siblec.ru/img/53/img/Image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siblec.ru/img/53/img/Image90.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52725" cy="885825"/>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5CFAFCA9" wp14:editId="23BBBBA2">
            <wp:extent cx="142875" cy="885825"/>
            <wp:effectExtent l="0" t="0" r="9525" b="9525"/>
            <wp:docPr id="11" name="Picture 11" descr="https://siblec.ru/img/53/img/im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siblec.ru/img/53/img/im46.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 cy="8858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.6)</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Рвых – мощность сигнала на выходе преобразователя частоты.</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Если преобразователи частоты работают при сигналах ПЧ, имеющих мощность много меньшую, чем колебания ГТ, то для них значения Кг и h совпадают. Однако при расчетах режимов работы мощных преобразователей частоты важно их различать.</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Эффективность работы преобразователя тем выше, чем меньше потери преобразования и выше КПД. Кроме того, преобразователь частоты должен иметь в пределах рабочей полосы частот равномерный коэффициент преобразования и равномерную характеристику ГВЗ, как и любое другое устройство ВЧ тракта. От преобразователя частоты передатчика обычно требуют довольно высокую выходную мощность: от десятков милливатт до ватта и более. Большие значения Рвых нужны в передатчиках, выполненных полностью на транзисторах и не имеющих УМ. В них обеспечивают высокий КПД в цепи гетеродина Кг. Для этого используют специальные мощные смесительные диоды с малыми потерями преобразования и варакторы, выдерживающие большие подводимые мощности. Для мощных преобразователей частоты обычно указывают наибольшие допустимые значения подводимых ПЧ и СВЧ колебаний, выходную мощность и потери преобразования.</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Смесители передатчика строят по однотактной и двухтактной схемам. В двухтактной схеме к смесителю можно подвести примерно вдвое большую мощность, чем в однотактной, так как в первой суммируются мощности, рассеиваемые двумя диодами.</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Прежде чем приступить к рассмотрению схем преобразователей частоты отметим следующие их особенности. Во-первых, в преобразователе частоты на диод приходится подавать колебания СВЧ от ГТ и снимать с этого же диода выходной </w:t>
      </w:r>
      <w:r w:rsidRPr="004904D1">
        <w:rPr>
          <w:rStyle w:val="Strong"/>
          <w:rFonts w:ascii="Times New Roman" w:hAnsi="Times New Roman" w:cs="Times New Roman"/>
          <w:sz w:val="24"/>
          <w:szCs w:val="24"/>
        </w:rPr>
        <w:lastRenderedPageBreak/>
        <w:t>сигнал СВЧ. Для разделения этих СВЧ колебаний обычно используют специальные СВЧ устройства: направленные ответвители, мостовые устройства, ферритовые циркуляторы и др. Во-вторых, к диоду приходится подводить одновременно колебания СВЧ, которые в аппаратуре РРЛ обычно передают по волноводам, и сигнал ПЧ, который передают по коаксиальному кабелю. Для этого часто используют волноводно-коаксиальный переход, в котором установлена смесительная головка. Наконец, ФБП пропускает только сигналы в рабочей полосе частот, а остальные продукты преобразования от него отражаются. Для того чтобы они не попадали снова в смеситель или ГТ и не нарушали режима работы, что проявляется, например, как ухудшение характеристики ГВЗ, в схеме преобразователя частоты устанавливают устройства для их поглощения: фильтры и ферритовые вентили. В некоторых схемах мощных смесителей на варакторах такие продукты преобразования используют для получения выходного сигнала. Это позволяет повысить КПД и выходную мощность преобразователя частоты.</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Названные СВЧ устройства: направленные ответвители, мостовые устройства, ферритовые вентили и циркуляторы (ФВ и ФЦ), фильтры и другие в АРРС второго поколения выполнены на отрезках полых волноводов. Эти системы сейчас находятся в эксплуатации. В ЦРРС, в АРРС третьего поколения, в аппаратуре спутниковой связи эти устройства, как правило, выполняют на полосовых и микрополосковых линиях или волноводах с диэлектрическим заполнением. Обладая такими же направленными свойствами, что и устройства на полых волноводах, они имеют значительно меньшие габариты. Это позволяет устанавливать их в аппаратуре, выполненной на микросхемах, гибридных интегральных схемах и т.п.</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14:anchorId="741A0054" wp14:editId="248B857D">
            <wp:simplePos x="0" y="0"/>
            <wp:positionH relativeFrom="column">
              <wp:posOffset>-3810</wp:posOffset>
            </wp:positionH>
            <wp:positionV relativeFrom="paragraph">
              <wp:posOffset>4445</wp:posOffset>
            </wp:positionV>
            <wp:extent cx="3599815" cy="1817370"/>
            <wp:effectExtent l="0" t="0" r="635" b="0"/>
            <wp:wrapTight wrapText="bothSides">
              <wp:wrapPolygon edited="0">
                <wp:start x="0" y="0"/>
                <wp:lineTo x="0" y="21283"/>
                <wp:lineTo x="21490" y="21283"/>
                <wp:lineTo x="21490" y="0"/>
                <wp:lineTo x="0" y="0"/>
              </wp:wrapPolygon>
            </wp:wrapTight>
            <wp:docPr id="12" name="Picture 12" descr="Рисунок 5.5. К пояснению работы квадратурного мостового устройства в режиме передачи из плеча I (а), плеча II (б), плеча III (в), плеча IV (г) и в режиме отражения при подаче сигнала в плечо I (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Рисунок 5.5. К пояснению работы квадратурного мостового устройства в режиме передачи из плеча I (а), плеча II (б), плеча III (в), плеча IV (г) и в режиме отражения при подаче сигнала в плечо I (д)."/>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9815" cy="1817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.5. К пояснению работы квадратурного мостового устройства в режиме передачи из плеча I (а), плеча II (б), плеча III (в), плеча IV (г) и в режиме отражения при подаче сигнала в плечо I (д).</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Двухтактный преобразователь на мощных смесительных диодах. В этой схеме для разделения СВЧ сигнала и колебаний гетеродина используют мостовые устройства.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Мостовое устройство (рисунок 5.5) имеет четыре плеча, которыми его соединяют с другими устройствами схемы. Каждое из плеч I – IV связано с двумя другими и развязано с третьим, так что плечи I и II, а также III и IV развязаны между собой. Сигнал, поданный в плечо I, поступит в плечи III и IV и не попадет в плечо II. На рисунке 5.5а сигналы обозначены S1 и S2, фазы этих сигналов в плечах III и IV - j 1 и j 2. Сигналы попадают в разные плечи, из фазы различаются на величину D j = j 2 - j 1, а мощности одинаковы. Мостовые устройства, в которых получают D j =p / 2 , называют квадратурными, существуют также противофазные (D j = p ) и синфазные (D j =2p ) мостовые устройства.</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подаче сигнала с фазой j 10 в любое из плеч квадратурного мостового устройства, фазы в двух других плечах определяются по рисунку 5.5,а-г при условии j 2 - j 1=p / 2 .</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Если в плечах III и IV происходит полное отражение сигнала, то отраженные волны Q1 и Q2(рисунок 5.5д) поступают в плечо II с фазами j *2 и j *1. Теперь запаздывает волна Q1, так что если принять j *2= j 2, то j *1= j 2+p / 2 , j *2 - j *1=j 2 –(j 1+p / 2 )=j 1+p / 2 –(j 1+p / 2 )=0. Фазы отраженных волн в плечах III и IV совпадают.</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Квадратурное мостовое устройство, реализованное на полых волноводах, называют щелевым мостом (ЩМ). Он представляет собой два прямоугольных волновода, имеющих общую стенку с отверстием для связи.</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3360" behindDoc="1" locked="0" layoutInCell="1" allowOverlap="1" wp14:anchorId="178CC057" wp14:editId="0DBB785D">
            <wp:simplePos x="0" y="0"/>
            <wp:positionH relativeFrom="column">
              <wp:posOffset>-3810</wp:posOffset>
            </wp:positionH>
            <wp:positionV relativeFrom="paragraph">
              <wp:posOffset>1905</wp:posOffset>
            </wp:positionV>
            <wp:extent cx="2879725" cy="998855"/>
            <wp:effectExtent l="0" t="0" r="0" b="0"/>
            <wp:wrapTight wrapText="bothSides">
              <wp:wrapPolygon edited="0">
                <wp:start x="0" y="0"/>
                <wp:lineTo x="0" y="21010"/>
                <wp:lineTo x="21433" y="21010"/>
                <wp:lineTo x="21433" y="0"/>
                <wp:lineTo x="0" y="0"/>
              </wp:wrapPolygon>
            </wp:wrapTight>
            <wp:docPr id="13" name="Picture 13" descr="Рисунок 5.6. Структурная схема двухтактного преобразователя на мощных смесительных диод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Рисунок 5.6. Структурная схема двухтактного преобразователя на мощных смесительных диодах."/>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79725" cy="998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.6. Структурная схема двухтактного преобразователя на мощных смесительных диодах.</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составе преобразователя частоты (рисунок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 xml:space="preserve">.6) сдвоенная смесительная головка UZ на мощных диодах VD1 и VD2, фильтры гармоник Z1 и Z2, щелевой мост WE, ферритовые вентили WS1 и WS2, ФБП Z3. Колебания гетеродина через ФУП Z4 и WS2 попадают в плечо I щелевого моста, а оттуда они поступают в плечи III и IV и к диодам VD2 и VD1. На диоды подают также напряжение сигнала ПЧ диоды открыты и поглощают энергию гетеродина. Во время действия отрицательной полуволны напряжения сигнала VD1 и VD2 закрыты, при этом колебания СВЧ, отразившись от смесительной головки, возвращаются к щелевому мосту и поступают в плечо II. Напряжение сигнала ПЧ выбирают таким большим, что изменение коэффициента отражения Котр от диодов практически происходит по </w:t>
      </w:r>
      <w:r>
        <w:rPr>
          <w:rStyle w:val="Strong"/>
          <w:rFonts w:ascii="Times New Roman" w:hAnsi="Times New Roman" w:cs="Times New Roman"/>
          <w:sz w:val="24"/>
          <w:szCs w:val="24"/>
        </w:rPr>
        <w:t>закону, показанному на рисунке 6</w:t>
      </w:r>
      <w:r w:rsidRPr="004904D1">
        <w:rPr>
          <w:rStyle w:val="Strong"/>
          <w:rFonts w:ascii="Times New Roman" w:hAnsi="Times New Roman" w:cs="Times New Roman"/>
          <w:sz w:val="24"/>
          <w:szCs w:val="24"/>
        </w:rPr>
        <w:t>.7. Диоды VD1 и VD2 подбирают с идентичными вольт-амперными характеристиками. Сигнал в плече II представляет собой АМ колебания частоты гетеродина (uII). На выходе ФБП выделяют колебания uвых с частотой передатчика, например f2=f01 – fпр. Энергию колебания второй боковой полосы частот, отраженную от ФБП, поглощает WS1.</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4384" behindDoc="1" locked="0" layoutInCell="1" allowOverlap="1" wp14:anchorId="6C054872" wp14:editId="21B93441">
            <wp:simplePos x="0" y="0"/>
            <wp:positionH relativeFrom="column">
              <wp:posOffset>-3810</wp:posOffset>
            </wp:positionH>
            <wp:positionV relativeFrom="paragraph">
              <wp:posOffset>-3175</wp:posOffset>
            </wp:positionV>
            <wp:extent cx="2238375" cy="2879725"/>
            <wp:effectExtent l="0" t="0" r="9525" b="0"/>
            <wp:wrapTight wrapText="bothSides">
              <wp:wrapPolygon edited="0">
                <wp:start x="0" y="0"/>
                <wp:lineTo x="0" y="21433"/>
                <wp:lineTo x="21508" y="21433"/>
                <wp:lineTo x="21508" y="0"/>
                <wp:lineTo x="0" y="0"/>
              </wp:wrapPolygon>
            </wp:wrapTight>
            <wp:docPr id="14" name="Picture 14" descr="https://siblec.ru/img/53/img/im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siblec.ru/img/53/img/im57.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38375"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Ферритовые вентили обладают свойством пропускать прямую волну (вносимое ослабление примерно 0,1…0,3 дБ) и сильно ослаблять (на 20 дБ и более) волну, распространяющуюся в обратном направлении. В схеме рисунок 5.6 WS1 должен вносить максимальное затухание для отраженной волны на частотах второй боковой полосы. При неидентичности вольт-амперных характеристик диодов VD1 и VD2 часть мощности сигнала ПЧ будет направлена в плечо I. Ее поглощает WS2. Для подавления Колебаний, возникающих на гармониках частоты гетеродина, служат ФГ.</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Преобразователи частоты на варакторах. В преобразователях частоты на варакторах для разделения СВЧ сигналов обычно используют ферритовые Y-циркуляторы. В таком циркуляторе три линии (волноводных либо микрополосковых, либо других) соединены под углом 120° . В центре сочленения установлен ферритовый элемент. Энергия в циркуляторе распространяется только в одном направлении, которое в схеме указано стрелкой (рисунок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.8).</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5408" behindDoc="1" locked="0" layoutInCell="1" allowOverlap="1" wp14:anchorId="59165862" wp14:editId="49499F56">
            <wp:simplePos x="0" y="0"/>
            <wp:positionH relativeFrom="column">
              <wp:posOffset>-3810</wp:posOffset>
            </wp:positionH>
            <wp:positionV relativeFrom="paragraph">
              <wp:posOffset>2540</wp:posOffset>
            </wp:positionV>
            <wp:extent cx="2879725" cy="1136650"/>
            <wp:effectExtent l="0" t="0" r="0" b="6350"/>
            <wp:wrapTight wrapText="bothSides">
              <wp:wrapPolygon edited="0">
                <wp:start x="0" y="0"/>
                <wp:lineTo x="0" y="21359"/>
                <wp:lineTo x="21433" y="21359"/>
                <wp:lineTo x="21433" y="0"/>
                <wp:lineTo x="0" y="0"/>
              </wp:wrapPolygon>
            </wp:wrapTight>
            <wp:docPr id="15" name="Picture 15" descr="Рисунок 5.8. Ферритовый Y – циркуля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Рисунок 5.8. Ферритовый Y – циркулятор:"/>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79725" cy="1136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.8. Ферритовый Y – циркулятор:</w:t>
      </w:r>
      <w:r w:rsidRPr="004904D1">
        <w:rPr>
          <w:rStyle w:val="Strong"/>
          <w:rFonts w:ascii="Times New Roman" w:hAnsi="Times New Roman" w:cs="Times New Roman"/>
          <w:sz w:val="24"/>
          <w:szCs w:val="24"/>
        </w:rPr>
        <w:br/>
        <w:t>а – изображение на схемах; б – пути прохождения сигналов; в – работа в режиме вентиля.</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Циркулятор обладает тем свойством, что волна, подаваемая в любое плечо, поступает только в соседнее плечо, но не идет в третье плечо. На рисунке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 xml:space="preserve">.8б </w:t>
      </w:r>
      <w:r w:rsidRPr="004904D1">
        <w:rPr>
          <w:rStyle w:val="Strong"/>
          <w:rFonts w:ascii="Times New Roman" w:hAnsi="Times New Roman" w:cs="Times New Roman"/>
          <w:sz w:val="24"/>
          <w:szCs w:val="24"/>
        </w:rPr>
        <w:lastRenderedPageBreak/>
        <w:t>тонкими линиями указаны возможные пути волн. Циркулятор используют и как вентиль. В этом случае к одному из плеч подключают балластную нагрузку R, как показано на рисунке 5.8в. Волна, подаваемая в плечо 2, попадает в плечо 3, а отраженная часть энергии этой волны (показана штриховыми линиями) возвращается в плечо 1 и поглощается.</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К варактору VD1 (рисунок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.9) приложены напряжение гетеродина, поступающее через ФУП Z4, WS, WE и ФГ Z2, а также напряжение смещения и ЧМ сигнала ПЧ, поступающие от МУПЧ А1. Под их воздействием емкость варактора меняется нелинейно. Поэтому ток в нагрузке смесительной головки UZ также нелинеен. Сигнал в рабочей полосе частот выделяет ФБП Z3. Для разделения СВЧ колебаний гетеродина и выходного сигнала служит ФЦ WE, другой ФЦ используется как вентиль WS.</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6432" behindDoc="1" locked="0" layoutInCell="1" allowOverlap="1" wp14:anchorId="28728A20" wp14:editId="4D29A5F8">
            <wp:simplePos x="0" y="0"/>
            <wp:positionH relativeFrom="column">
              <wp:posOffset>-3810</wp:posOffset>
            </wp:positionH>
            <wp:positionV relativeFrom="paragraph">
              <wp:posOffset>-1905</wp:posOffset>
            </wp:positionV>
            <wp:extent cx="2879725" cy="1183640"/>
            <wp:effectExtent l="0" t="0" r="0" b="0"/>
            <wp:wrapTight wrapText="bothSides">
              <wp:wrapPolygon edited="0">
                <wp:start x="0" y="0"/>
                <wp:lineTo x="0" y="21206"/>
                <wp:lineTo x="21433" y="21206"/>
                <wp:lineTo x="21433" y="0"/>
                <wp:lineTo x="0" y="0"/>
              </wp:wrapPolygon>
            </wp:wrapTight>
            <wp:docPr id="16" name="Picture 16" descr="Рисунок 5.9. Структурная схема однотактного преобразователя на варактора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Рисунок 5.9. Структурная схема однотактного преобразователя на варакторах.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79725" cy="1183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6</w:t>
      </w:r>
      <w:r w:rsidRPr="004904D1">
        <w:rPr>
          <w:rStyle w:val="Strong"/>
          <w:rFonts w:ascii="Times New Roman" w:hAnsi="Times New Roman" w:cs="Times New Roman"/>
          <w:sz w:val="24"/>
          <w:szCs w:val="24"/>
        </w:rPr>
        <w:t>.9. Структурная схема однотактного преобразователя на варакторах.</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Колебания второй боковой полосы, отражаясь от Z3, возвращаются в плечо 2 WE, затем попадают в WS и в поглощающую нагрузку R. Колебания на гармониках гетеродина поглощает ФГ Z2. Смесительная головка кроме варактора содержит ФНЧ Z1, который препятствует прохождению СВЧ колебаний в тракт ПЧ. Эта схема получила название однотактной циркуляторной. В ней используют варакторы средней мощности с помощью рассеяния около 1 Вт.</w:t>
      </w:r>
    </w:p>
    <w:p w:rsidR="00943FA2" w:rsidRPr="004904D1"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7456" behindDoc="1" locked="0" layoutInCell="1" allowOverlap="1" wp14:anchorId="51D10BB6" wp14:editId="5BBB1F2E">
            <wp:simplePos x="0" y="0"/>
            <wp:positionH relativeFrom="column">
              <wp:posOffset>-3810</wp:posOffset>
            </wp:positionH>
            <wp:positionV relativeFrom="paragraph">
              <wp:posOffset>0</wp:posOffset>
            </wp:positionV>
            <wp:extent cx="2879725" cy="1302385"/>
            <wp:effectExtent l="0" t="0" r="0" b="0"/>
            <wp:wrapTight wrapText="bothSides">
              <wp:wrapPolygon edited="0">
                <wp:start x="0" y="0"/>
                <wp:lineTo x="0" y="21168"/>
                <wp:lineTo x="21433" y="21168"/>
                <wp:lineTo x="21433" y="0"/>
                <wp:lineTo x="0" y="0"/>
              </wp:wrapPolygon>
            </wp:wrapTight>
            <wp:docPr id="17" name="Picture 17" descr="Рисунок 5.10. Двухтактная циркуляторная схема преобразователя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Рисунок 5.10. Двухтактная циркуляторная схема преобразователя частоты."/>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79725"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3FA2" w:rsidRPr="004904D1" w:rsidRDefault="00943FA2" w:rsidP="00943FA2">
      <w:pPr>
        <w:pStyle w:val="NoSpacing"/>
        <w:rPr>
          <w:rStyle w:val="Strong"/>
          <w:rFonts w:ascii="Times New Roman" w:hAnsi="Times New Roman" w:cs="Times New Roman"/>
          <w:b w:val="0"/>
          <w:sz w:val="24"/>
          <w:szCs w:val="24"/>
        </w:rPr>
      </w:pPr>
      <w:r>
        <w:rPr>
          <w:rStyle w:val="Strong"/>
          <w:rFonts w:ascii="Times New Roman" w:hAnsi="Times New Roman" w:cs="Times New Roman"/>
          <w:sz w:val="24"/>
          <w:szCs w:val="24"/>
        </w:rPr>
        <w:t>Рисунок 6</w:t>
      </w:r>
      <w:r w:rsidRPr="004904D1">
        <w:rPr>
          <w:rStyle w:val="Strong"/>
          <w:rFonts w:ascii="Times New Roman" w:hAnsi="Times New Roman" w:cs="Times New Roman"/>
          <w:sz w:val="24"/>
          <w:szCs w:val="24"/>
        </w:rPr>
        <w:t>.10. Двухтактная циркуляторная схема преобразователя частоты.</w:t>
      </w:r>
    </w:p>
    <w:p w:rsidR="00943FA2" w:rsidRDefault="00943FA2" w:rsidP="00943FA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двухтактной циркуляторной схеме (рисунок 5.10) смесительная головка UZ содержит варакторы VD1 и VD2. На них от МУПЧ А1 поступают напряжение смещения и сигнал ПЧ. Конструкция смесительной головки обеспечивает подачу колебаний гетеродина на VD1 и VD2 в противофазе. Эти колебания поступают через ФУП Z2 и WE. При идентичности диодов колебания на четных гармониках частоты гетеродина на выходе UZ не возникают. Фильтр боковой полосы Z1 отражает колебания второй боковой полосы к WS, в нагрузке которого они поглощаются. Мощность, рассеиваемая варакторами, удваивается по сравнению со схемой рисунка 5.9. Это позволяет, увеличив мощности гетеродина и сигнала ПЧ, получить бóльшую выходную мощность. Значения Uc, Рг и Рвых на рисунке относятся к ПрЧ передатчика КУРС-4, не имеющего УМ. Развязка СВЧ колебаний гетеродина и выходного СВЧ сигнала достигнута с помощью WE и WS.</w:t>
      </w:r>
    </w:p>
    <w:p w:rsidR="00943FA2" w:rsidRPr="00C37E4E" w:rsidRDefault="00943FA2" w:rsidP="00943FA2">
      <w:pPr>
        <w:pStyle w:val="NoSpacing"/>
        <w:rPr>
          <w:rStyle w:val="Strong"/>
          <w:rFonts w:ascii="Times New Roman" w:hAnsi="Times New Roman" w:cs="Times New Roman"/>
          <w:sz w:val="24"/>
          <w:szCs w:val="24"/>
        </w:rPr>
      </w:pPr>
      <w:r w:rsidRPr="00C37E4E">
        <w:rPr>
          <w:rStyle w:val="Strong"/>
          <w:rFonts w:ascii="Times New Roman" w:hAnsi="Times New Roman" w:cs="Times New Roman"/>
          <w:sz w:val="24"/>
          <w:szCs w:val="24"/>
        </w:rPr>
        <w:t>Вопросы для самоконтроля</w:t>
      </w:r>
    </w:p>
    <w:p w:rsidR="00943FA2" w:rsidRPr="0070691B" w:rsidRDefault="00943FA2" w:rsidP="00943FA2">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sz w:val="24"/>
          <w:szCs w:val="24"/>
        </w:rPr>
        <w:t>Поясните назначение элементов структурной схемы радиопередатчика с модуляцией на ПЧ.</w:t>
      </w:r>
    </w:p>
    <w:p w:rsidR="00943FA2" w:rsidRPr="0070691B" w:rsidRDefault="00943FA2" w:rsidP="00943FA2">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sz w:val="24"/>
          <w:szCs w:val="24"/>
        </w:rPr>
        <w:t>Назовите основные параметры радиопередатчиков.</w:t>
      </w:r>
    </w:p>
    <w:p w:rsidR="00943FA2" w:rsidRDefault="00943FA2" w:rsidP="00943FA2">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sz w:val="24"/>
          <w:szCs w:val="24"/>
        </w:rPr>
        <w:t>Нарисуйте передаточную характеристику ЧМД и поясните основные требования к ней.</w:t>
      </w:r>
    </w:p>
    <w:p w:rsidR="00943FA2" w:rsidRDefault="00943FA2" w:rsidP="00943FA2">
      <w:pPr>
        <w:pStyle w:val="NoSpacing"/>
        <w:rPr>
          <w:rStyle w:val="Strong"/>
          <w:rFonts w:ascii="Times New Roman" w:hAnsi="Times New Roman" w:cs="Times New Roman"/>
          <w:b w:val="0"/>
          <w:sz w:val="24"/>
          <w:szCs w:val="24"/>
        </w:rPr>
      </w:pPr>
    </w:p>
    <w:p w:rsidR="00007597" w:rsidRDefault="00943FA2">
      <w:bookmarkStart w:id="3" w:name="_GoBack"/>
      <w:bookmarkEnd w:id="3"/>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10B"/>
    <w:rsid w:val="00315C2D"/>
    <w:rsid w:val="0045010B"/>
    <w:rsid w:val="00943FA2"/>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43FA2"/>
    <w:rPr>
      <w:b/>
      <w:bCs/>
    </w:rPr>
  </w:style>
  <w:style w:type="paragraph" w:styleId="NoSpacing">
    <w:name w:val="No Spacing"/>
    <w:uiPriority w:val="1"/>
    <w:qFormat/>
    <w:rsid w:val="00943FA2"/>
    <w:pPr>
      <w:spacing w:after="0" w:line="240" w:lineRule="auto"/>
    </w:pPr>
  </w:style>
  <w:style w:type="paragraph" w:styleId="BalloonText">
    <w:name w:val="Balloon Text"/>
    <w:basedOn w:val="Normal"/>
    <w:link w:val="BalloonTextChar"/>
    <w:uiPriority w:val="99"/>
    <w:semiHidden/>
    <w:unhideWhenUsed/>
    <w:rsid w:val="00943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F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43FA2"/>
    <w:rPr>
      <w:b/>
      <w:bCs/>
    </w:rPr>
  </w:style>
  <w:style w:type="paragraph" w:styleId="NoSpacing">
    <w:name w:val="No Spacing"/>
    <w:uiPriority w:val="1"/>
    <w:qFormat/>
    <w:rsid w:val="00943FA2"/>
    <w:pPr>
      <w:spacing w:after="0" w:line="240" w:lineRule="auto"/>
    </w:pPr>
  </w:style>
  <w:style w:type="paragraph" w:styleId="BalloonText">
    <w:name w:val="Balloon Text"/>
    <w:basedOn w:val="Normal"/>
    <w:link w:val="BalloonTextChar"/>
    <w:uiPriority w:val="99"/>
    <w:semiHidden/>
    <w:unhideWhenUsed/>
    <w:rsid w:val="00943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F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gif"/><Relationship Id="rId18" Type="http://schemas.openxmlformats.org/officeDocument/2006/relationships/image" Target="media/image11.gi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gif"/><Relationship Id="rId7" Type="http://schemas.openxmlformats.org/officeDocument/2006/relationships/hyperlink" Target="https://siblec.ru/telekommunikatsii/sputnikovye-i-radiorelejnye-sistemy-peredachi/5-radioperedayushchie-ustrojstva-analogovykh-rrl" TargetMode="External"/><Relationship Id="rId12" Type="http://schemas.openxmlformats.org/officeDocument/2006/relationships/image" Target="media/image5.gif"/><Relationship Id="rId17" Type="http://schemas.openxmlformats.org/officeDocument/2006/relationships/image" Target="media/image10.gif"/><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9.gif"/><Relationship Id="rId20" Type="http://schemas.openxmlformats.org/officeDocument/2006/relationships/image" Target="media/image13.gif"/><Relationship Id="rId1" Type="http://schemas.openxmlformats.org/officeDocument/2006/relationships/styles" Target="styles.xml"/><Relationship Id="rId6" Type="http://schemas.openxmlformats.org/officeDocument/2006/relationships/hyperlink" Target="https://siblec.ru/telekommunikatsii/sputnikovye-i-radiorelejnye-sistemy-peredachi/5-radioperedayushchie-ustrojstva-analogovykh-rrl" TargetMode="External"/><Relationship Id="rId11" Type="http://schemas.openxmlformats.org/officeDocument/2006/relationships/image" Target="media/image4.gif"/><Relationship Id="rId24" Type="http://schemas.openxmlformats.org/officeDocument/2006/relationships/image" Target="media/image17.gif"/><Relationship Id="rId5" Type="http://schemas.openxmlformats.org/officeDocument/2006/relationships/hyperlink" Target="https://siblec.ru/telekommunikatsii/sputnikovye-i-radiorelejnye-sistemy-peredachi/5-radioperedayushchie-ustrojstva-analogovykh-rrl" TargetMode="External"/><Relationship Id="rId15" Type="http://schemas.openxmlformats.org/officeDocument/2006/relationships/image" Target="media/image8.gif"/><Relationship Id="rId23" Type="http://schemas.openxmlformats.org/officeDocument/2006/relationships/image" Target="media/image16.gif"/><Relationship Id="rId10" Type="http://schemas.openxmlformats.org/officeDocument/2006/relationships/image" Target="media/image3.gif"/><Relationship Id="rId19" Type="http://schemas.openxmlformats.org/officeDocument/2006/relationships/image" Target="media/image12.gif"/><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7.gif"/><Relationship Id="rId22" Type="http://schemas.openxmlformats.org/officeDocument/2006/relationships/image" Target="media/image1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2933</Words>
  <Characters>16724</Characters>
  <Application>Microsoft Office Word</Application>
  <DocSecurity>0</DocSecurity>
  <Lines>139</Lines>
  <Paragraphs>39</Paragraphs>
  <ScaleCrop>false</ScaleCrop>
  <Company/>
  <LinksUpToDate>false</LinksUpToDate>
  <CharactersWithSpaces>19618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2020-09-02T16:52:00Z</dcterms:created>
  <dcterms:modified xsi:type="dcterms:W3CDTF">2020-09-02T16:52:00Z</dcterms:modified>
</cp:coreProperties>
</file>